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E2F" w:rsidRPr="00710E2F" w:rsidRDefault="00710E2F" w:rsidP="00710E2F">
      <w:pPr>
        <w:widowControl/>
        <w:shd w:val="clear" w:color="auto" w:fill="FFFFFF"/>
        <w:jc w:val="center"/>
        <w:outlineLvl w:val="2"/>
        <w:rPr>
          <w:rFonts w:ascii="微软雅黑" w:eastAsia="微软雅黑" w:hAnsi="微软雅黑" w:cs="宋体"/>
          <w:color w:val="9F080C"/>
          <w:kern w:val="0"/>
          <w:sz w:val="30"/>
          <w:szCs w:val="30"/>
        </w:rPr>
      </w:pPr>
      <w:r w:rsidRPr="00710E2F">
        <w:rPr>
          <w:rFonts w:ascii="微软雅黑" w:eastAsia="微软雅黑" w:hAnsi="微软雅黑" w:cs="宋体" w:hint="eastAsia"/>
          <w:color w:val="9F080C"/>
          <w:kern w:val="0"/>
          <w:sz w:val="30"/>
          <w:szCs w:val="30"/>
        </w:rPr>
        <w:t>2019年度四川省哲学社会科学重点研究基地四川医事卫生法治研究中心项目申报公告</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《2019年度四川医事卫生法治研究中心项目申报公告》（</w:t>
      </w:r>
      <w:proofErr w:type="gramStart"/>
      <w:r w:rsidRPr="00710E2F">
        <w:rPr>
          <w:rFonts w:ascii="微软雅黑" w:eastAsia="微软雅黑" w:hAnsi="微软雅黑" w:cs="宋体" w:hint="eastAsia"/>
          <w:color w:val="666666"/>
          <w:kern w:val="0"/>
          <w:szCs w:val="21"/>
        </w:rPr>
        <w:t>以下简作《项目申报公告》</w:t>
      </w:r>
      <w:proofErr w:type="gramEnd"/>
      <w:r w:rsidRPr="00710E2F">
        <w:rPr>
          <w:rFonts w:ascii="微软雅黑" w:eastAsia="微软雅黑" w:hAnsi="微软雅黑" w:cs="宋体" w:hint="eastAsia"/>
          <w:color w:val="666666"/>
          <w:kern w:val="0"/>
          <w:szCs w:val="21"/>
        </w:rPr>
        <w:t>）已经中心学术委员会审定，即日发布。现将项目申报的有关事宜公告如下：</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一、指导思想</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全面贯彻落实党的十九大精神，高举中国特色社会主义伟大旗帜，以马克思列宁主</w:t>
      </w:r>
      <w:bookmarkStart w:id="0" w:name="_GoBack"/>
      <w:bookmarkEnd w:id="0"/>
      <w:r w:rsidRPr="00710E2F">
        <w:rPr>
          <w:rFonts w:ascii="微软雅黑" w:eastAsia="微软雅黑" w:hAnsi="微软雅黑" w:cs="宋体" w:hint="eastAsia"/>
          <w:color w:val="666666"/>
          <w:kern w:val="0"/>
          <w:szCs w:val="21"/>
        </w:rPr>
        <w:t>义、毛泽东思想、邓小平理论、“三个代表”重要思想、科学发展观、习近平新时代中国特色社会主义思想为指导，结合《“健康中国2030”规划纲要》，树立“大卫生、大健康”理念，突出医药卫生健康法治建设创新主题，针对医药卫生健康法治领域的重大理论问题、现实热点和难点问题，开展深层次、全局性、对策性研究，使研究成果具有较高的学术价值和较强的应用价值，为促进我国医药卫生健康法治建设、保护公民的生命健康权益、促进和保障医药卫生健康事业持续发展提供理论支持和实践指导。</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二、申报基本条件</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（一）本年度申报范围为全国范围内有志于从事医药卫生健康法治研究的各界人士。</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（二）所选项目应有科学合理的研究团队和相关学科的研究基础，能发挥团队优势，能取得标志性成果。</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（三）鼓励有代表性、科研精神强、研究团队实力强的课题组积极申报中心项目。</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（四）为避免重复立项，浪费资源，已获得省级以上立项的项目负责人不得以相同项目申报本中心项目。</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五）项目负责人同年度只能向中心申报一个项目，且不能作为课题组成员参与本中心其他项目的申报；课题组成员同年度最多参与本中心两个项目的申报。已获本中心立项，但未结项的项目负责人不得作为项目负责人申报。</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lastRenderedPageBreak/>
        <w:t>（六）项目申报者要遵守承诺，如实填写申报材料，并保证没有知识产权争议。凡存在弄虚作假、抄袭剽窃等行为的，一经查实，如获立项的即予撤销，并取消三年申报资格；为保证评审工作的公正性，严格评审纪律，在评审会召开之前，任何单位或</w:t>
      </w:r>
      <w:proofErr w:type="gramStart"/>
      <w:r w:rsidRPr="00710E2F">
        <w:rPr>
          <w:rFonts w:ascii="微软雅黑" w:eastAsia="微软雅黑" w:hAnsi="微软雅黑" w:cs="宋体" w:hint="eastAsia"/>
          <w:color w:val="666666"/>
          <w:kern w:val="0"/>
          <w:szCs w:val="21"/>
        </w:rPr>
        <w:t>个</w:t>
      </w:r>
      <w:proofErr w:type="gramEnd"/>
      <w:r w:rsidRPr="00710E2F">
        <w:rPr>
          <w:rFonts w:ascii="微软雅黑" w:eastAsia="微软雅黑" w:hAnsi="微软雅黑" w:cs="宋体" w:hint="eastAsia"/>
          <w:color w:val="666666"/>
          <w:kern w:val="0"/>
          <w:szCs w:val="21"/>
        </w:rPr>
        <w:t>人均不得以任何名义走访评审专家，一经发现，取消当年申报资格。</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三、资助类别及申报要求</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本次设重点项目、一般项目和青年项目。</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（一）重点项目</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申请者应是具有副高以上职称或获得博士学位的人员，实行首席专家负责制；项目应列3个以上的子项目，其中至少1个子项目负责人是非申请人所在单位职工，资助项目5～8项，资助额度20000～40000元∕项；项目原则上要求在2年内完成；研究成果应是专著、论文或已为政府部门采纳的研究报告形式，符合下列情形之一的可申请结项：</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1.以论文结题的，在全国中文核心期刊至少发表3篇以上论文；或者在全国中文核心期刊至少发表2篇以上论文和在《医学与法学》</w:t>
      </w:r>
      <w:proofErr w:type="gramStart"/>
      <w:r w:rsidRPr="00710E2F">
        <w:rPr>
          <w:rFonts w:ascii="微软雅黑" w:eastAsia="微软雅黑" w:hAnsi="微软雅黑" w:cs="宋体" w:hint="eastAsia"/>
          <w:color w:val="666666"/>
          <w:kern w:val="0"/>
          <w:szCs w:val="21"/>
        </w:rPr>
        <w:t>刊至少</w:t>
      </w:r>
      <w:proofErr w:type="gramEnd"/>
      <w:r w:rsidRPr="00710E2F">
        <w:rPr>
          <w:rFonts w:ascii="微软雅黑" w:eastAsia="微软雅黑" w:hAnsi="微软雅黑" w:cs="宋体" w:hint="eastAsia"/>
          <w:color w:val="666666"/>
          <w:kern w:val="0"/>
          <w:szCs w:val="21"/>
        </w:rPr>
        <w:t>发表3篇以上论文；</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2.以研究报告（要报）形式被地级市及其以上政府部门采纳的；</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3.以专著</w:t>
      </w:r>
      <w:proofErr w:type="gramStart"/>
      <w:r w:rsidRPr="00710E2F">
        <w:rPr>
          <w:rFonts w:ascii="微软雅黑" w:eastAsia="微软雅黑" w:hAnsi="微软雅黑" w:cs="宋体" w:hint="eastAsia"/>
          <w:color w:val="666666"/>
          <w:kern w:val="0"/>
          <w:szCs w:val="21"/>
        </w:rPr>
        <w:t>形式结项的</w:t>
      </w:r>
      <w:proofErr w:type="gramEnd"/>
      <w:r w:rsidRPr="00710E2F">
        <w:rPr>
          <w:rFonts w:ascii="微软雅黑" w:eastAsia="微软雅黑" w:hAnsi="微软雅黑" w:cs="宋体" w:hint="eastAsia"/>
          <w:color w:val="666666"/>
          <w:kern w:val="0"/>
          <w:szCs w:val="21"/>
        </w:rPr>
        <w:t>，要求字数达到20万字以上，提供查新检测报告（重复率不得超过15%），且先</w:t>
      </w:r>
      <w:proofErr w:type="gramStart"/>
      <w:r w:rsidRPr="00710E2F">
        <w:rPr>
          <w:rFonts w:ascii="微软雅黑" w:eastAsia="微软雅黑" w:hAnsi="微软雅黑" w:cs="宋体" w:hint="eastAsia"/>
          <w:color w:val="666666"/>
          <w:kern w:val="0"/>
          <w:szCs w:val="21"/>
        </w:rPr>
        <w:t>申报结项后</w:t>
      </w:r>
      <w:proofErr w:type="gramEnd"/>
      <w:r w:rsidRPr="00710E2F">
        <w:rPr>
          <w:rFonts w:ascii="微软雅黑" w:eastAsia="微软雅黑" w:hAnsi="微软雅黑" w:cs="宋体" w:hint="eastAsia"/>
          <w:color w:val="666666"/>
          <w:kern w:val="0"/>
          <w:szCs w:val="21"/>
        </w:rPr>
        <w:t>再出版。</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（二）一般项目</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申请者原则上应具有副高级以上职称，中级职称人员申报项目的，须由两名具有高级职称的同行专家推荐；采取研究中心经费资助（资助额度8000～15000元∕项）或研究中心仅立项不资助（由项目承担单位资助）两种方式，其中立项并资助项目15～20项；项目要求在2年内完成；研究成果应是专著、论文或已为政府部门采纳的研究报告形式，符合下列情形之一可申请结项：</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lastRenderedPageBreak/>
        <w:t>1.以论文结题的，在全国公开刊物至少发表3篇以上论文（其中1篇须发表在全国中文核心期刊上，1篇发表在《医学与法学》刊上）；</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2.以研究报告（要报）形式被地级市及其以上政府部门采纳的；</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3.以专著</w:t>
      </w:r>
      <w:proofErr w:type="gramStart"/>
      <w:r w:rsidRPr="00710E2F">
        <w:rPr>
          <w:rFonts w:ascii="微软雅黑" w:eastAsia="微软雅黑" w:hAnsi="微软雅黑" w:cs="宋体" w:hint="eastAsia"/>
          <w:color w:val="666666"/>
          <w:kern w:val="0"/>
          <w:szCs w:val="21"/>
        </w:rPr>
        <w:t>形式结项的</w:t>
      </w:r>
      <w:proofErr w:type="gramEnd"/>
      <w:r w:rsidRPr="00710E2F">
        <w:rPr>
          <w:rFonts w:ascii="微软雅黑" w:eastAsia="微软雅黑" w:hAnsi="微软雅黑" w:cs="宋体" w:hint="eastAsia"/>
          <w:color w:val="666666"/>
          <w:kern w:val="0"/>
          <w:szCs w:val="21"/>
        </w:rPr>
        <w:t>，要求字数达到15万字以上，提供查新检测报告（重复率不得超过15%），且先</w:t>
      </w:r>
      <w:proofErr w:type="gramStart"/>
      <w:r w:rsidRPr="00710E2F">
        <w:rPr>
          <w:rFonts w:ascii="微软雅黑" w:eastAsia="微软雅黑" w:hAnsi="微软雅黑" w:cs="宋体" w:hint="eastAsia"/>
          <w:color w:val="666666"/>
          <w:kern w:val="0"/>
          <w:szCs w:val="21"/>
        </w:rPr>
        <w:t>申报结项后</w:t>
      </w:r>
      <w:proofErr w:type="gramEnd"/>
      <w:r w:rsidRPr="00710E2F">
        <w:rPr>
          <w:rFonts w:ascii="微软雅黑" w:eastAsia="微软雅黑" w:hAnsi="微软雅黑" w:cs="宋体" w:hint="eastAsia"/>
          <w:color w:val="666666"/>
          <w:kern w:val="0"/>
          <w:szCs w:val="21"/>
        </w:rPr>
        <w:t>再出版。</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（三）青年项目</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申请青年项目的申请人及课题组成员年龄均不得超过40周岁（1979年3月31日以后出生）；资助项目20～25项，采取研究中心经费资助（资助额度6000～9000元∕项）或研究中心仅立项不资助（由项目承担单位资助）两种方式；项目要求在2年内完成；研究成果应是专著、论文或已为政府部门采纳的研究报告形式，符合下列情形之一可申请结项：</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1.以论文结题的，在全国公开刊物至少发表3篇以上论文（其中1篇须发表在《医学与法学》刊上）；</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2.以研究报告（要报）形式被县级及其以上政府部门采纳的；</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3.以专著</w:t>
      </w:r>
      <w:proofErr w:type="gramStart"/>
      <w:r w:rsidRPr="00710E2F">
        <w:rPr>
          <w:rFonts w:ascii="微软雅黑" w:eastAsia="微软雅黑" w:hAnsi="微软雅黑" w:cs="宋体" w:hint="eastAsia"/>
          <w:color w:val="666666"/>
          <w:kern w:val="0"/>
          <w:szCs w:val="21"/>
        </w:rPr>
        <w:t>形式结项的</w:t>
      </w:r>
      <w:proofErr w:type="gramEnd"/>
      <w:r w:rsidRPr="00710E2F">
        <w:rPr>
          <w:rFonts w:ascii="微软雅黑" w:eastAsia="微软雅黑" w:hAnsi="微软雅黑" w:cs="宋体" w:hint="eastAsia"/>
          <w:color w:val="666666"/>
          <w:kern w:val="0"/>
          <w:szCs w:val="21"/>
        </w:rPr>
        <w:t>，要求字数达到15万字以上，提供查新检测报告（重复率不得超过15%），且先</w:t>
      </w:r>
      <w:proofErr w:type="gramStart"/>
      <w:r w:rsidRPr="00710E2F">
        <w:rPr>
          <w:rFonts w:ascii="微软雅黑" w:eastAsia="微软雅黑" w:hAnsi="微软雅黑" w:cs="宋体" w:hint="eastAsia"/>
          <w:color w:val="666666"/>
          <w:kern w:val="0"/>
          <w:szCs w:val="21"/>
        </w:rPr>
        <w:t>申报结项后</w:t>
      </w:r>
      <w:proofErr w:type="gramEnd"/>
      <w:r w:rsidRPr="00710E2F">
        <w:rPr>
          <w:rFonts w:ascii="微软雅黑" w:eastAsia="微软雅黑" w:hAnsi="微软雅黑" w:cs="宋体" w:hint="eastAsia"/>
          <w:color w:val="666666"/>
          <w:kern w:val="0"/>
          <w:szCs w:val="21"/>
        </w:rPr>
        <w:t>再出版。</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如果当年申报项目特别多且质量也很好，需突破各类项目的立项高限时，可由学术委员会集中讨论决定后适当增加立项数。以上项目研究成果发表时须注明“四川医事卫生法治研究中心立项项目”字样。</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四、受理程序及要求</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（一）2019年中心项目全部采取“四川医事卫生法治研究中心科研项目管理平台”在线注册申报（</w:t>
      </w:r>
      <w:hyperlink r:id="rId5" w:history="1">
        <w:r w:rsidRPr="00710E2F">
          <w:rPr>
            <w:rFonts w:ascii="微软雅黑" w:eastAsia="微软雅黑" w:hAnsi="微软雅黑" w:cs="宋体" w:hint="eastAsia"/>
            <w:color w:val="1E50A2"/>
            <w:kern w:val="0"/>
            <w:szCs w:val="21"/>
            <w:u w:val="single"/>
          </w:rPr>
          <w:t>http://fzyjzx.swmu.edu.cn/</w:t>
        </w:r>
      </w:hyperlink>
      <w:r w:rsidRPr="00710E2F">
        <w:rPr>
          <w:rFonts w:ascii="微软雅黑" w:eastAsia="微软雅黑" w:hAnsi="微软雅黑" w:cs="宋体" w:hint="eastAsia"/>
          <w:color w:val="666666"/>
          <w:kern w:val="0"/>
          <w:szCs w:val="21"/>
        </w:rPr>
        <w:t>）。项目申请书填写完成后在线导出，一式2份（要求A3纸双面印制、中缝装订，为使申请书美观可以自行调整格式）。</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lastRenderedPageBreak/>
        <w:t>（二）提交的项目申请书，应经项目负责人所在单位的科研管理机构，依据《四川省哲学社会科学项目管理方法》进行严格审查，主要对申请人进行资格审查，对申请书所有栏目填写的内容，特别是对选题、项目设计的科学性和可行性，课题组是否具备完成研究任务的充分条件进行认真审核并签署明确意见。</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三）本申报项目指南所列的是研究范围、研究方向和研究重点，是供申请者选题的研究领域、申报范围和方向，申请人可以自行设计具体题目，没有明确的研究对象和问题指向的申请不予受理和立项。只要符合本中心2019年度申请项目公告及指南的指导思想和基本要求，鼓励申请人根据研究兴趣和学术积累申报自选项目，所有项目在评审程序、评审标准、立项指标、资助强度等方面同样对待。</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五、受理时间</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网上受理时间:2019年3月１日～3月31日</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纸质材料受理时间：2019年3月１日～2019年4月6日（以寄出邮戳为准，逾期不再受理）</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六、答辩及中标</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重点项目经中心组织专家初审合格后，还需进行答辩；答辩通过后，由学术委员会最终审定；一般项目和青年项目经中心组织专家评审通过后，由学术委员会最终审定；所有中标项目的负责人须同中心签订合同书。</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七、联系方式及联系人</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（一）联 系 人：王林智18281170861 魏 洋18208315570</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办公电话：0830-3165430</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（二）E-mail：scyf071020@163.com</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lastRenderedPageBreak/>
        <w:t>（三）邮寄地址：四川省泸州市江</w:t>
      </w:r>
      <w:proofErr w:type="gramStart"/>
      <w:r w:rsidRPr="00710E2F">
        <w:rPr>
          <w:rFonts w:ascii="微软雅黑" w:eastAsia="微软雅黑" w:hAnsi="微软雅黑" w:cs="宋体" w:hint="eastAsia"/>
          <w:color w:val="666666"/>
          <w:kern w:val="0"/>
          <w:szCs w:val="21"/>
        </w:rPr>
        <w:t>阳区忠山路</w:t>
      </w:r>
      <w:proofErr w:type="gramEnd"/>
      <w:r w:rsidRPr="00710E2F">
        <w:rPr>
          <w:rFonts w:ascii="微软雅黑" w:eastAsia="微软雅黑" w:hAnsi="微软雅黑" w:cs="宋体" w:hint="eastAsia"/>
          <w:color w:val="666666"/>
          <w:kern w:val="0"/>
          <w:szCs w:val="21"/>
        </w:rPr>
        <w:t>三段319号西南医科大学忠山校区</w:t>
      </w:r>
      <w:proofErr w:type="gramStart"/>
      <w:r w:rsidRPr="00710E2F">
        <w:rPr>
          <w:rFonts w:ascii="微软雅黑" w:eastAsia="微软雅黑" w:hAnsi="微软雅黑" w:cs="宋体" w:hint="eastAsia"/>
          <w:color w:val="666666"/>
          <w:kern w:val="0"/>
          <w:szCs w:val="21"/>
        </w:rPr>
        <w:t>西山楼</w:t>
      </w:r>
      <w:proofErr w:type="gramEnd"/>
      <w:r w:rsidRPr="00710E2F">
        <w:rPr>
          <w:rFonts w:ascii="微软雅黑" w:eastAsia="微软雅黑" w:hAnsi="微软雅黑" w:cs="宋体" w:hint="eastAsia"/>
          <w:color w:val="666666"/>
          <w:kern w:val="0"/>
          <w:szCs w:val="21"/>
        </w:rPr>
        <w:t>414室四川医事卫生法治研究中心（收）</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邮 编：646000</w:t>
      </w:r>
    </w:p>
    <w:p w:rsidR="00710E2F" w:rsidRPr="00710E2F" w:rsidRDefault="00710E2F" w:rsidP="00710E2F">
      <w:pPr>
        <w:widowControl/>
        <w:shd w:val="clear" w:color="auto" w:fill="FFFFFF"/>
        <w:spacing w:line="315" w:lineRule="atLeast"/>
        <w:ind w:firstLine="480"/>
        <w:jc w:val="left"/>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附 件：《四川医事卫生法治研究中心2019年度申请项目指南》</w:t>
      </w:r>
    </w:p>
    <w:p w:rsidR="00710E2F" w:rsidRPr="00710E2F" w:rsidRDefault="00710E2F" w:rsidP="00710E2F">
      <w:pPr>
        <w:widowControl/>
        <w:shd w:val="clear" w:color="auto" w:fill="FFFFFF"/>
        <w:spacing w:line="315" w:lineRule="atLeast"/>
        <w:ind w:firstLine="480"/>
        <w:jc w:val="righ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四川医事卫生法治研究中心</w:t>
      </w:r>
    </w:p>
    <w:p w:rsidR="00710E2F" w:rsidRPr="00710E2F" w:rsidRDefault="00710E2F" w:rsidP="00710E2F">
      <w:pPr>
        <w:widowControl/>
        <w:shd w:val="clear" w:color="auto" w:fill="FFFFFF"/>
        <w:spacing w:line="315" w:lineRule="atLeast"/>
        <w:ind w:firstLine="480"/>
        <w:jc w:val="right"/>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2018年11月26日</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2019年度四川省哲学社会科学重点研究基地</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四川医事卫生法治研究中心项目申报指南</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一、</w:t>
      </w:r>
      <w:r w:rsidRPr="00710E2F">
        <w:rPr>
          <w:rFonts w:ascii="微软雅黑" w:eastAsia="微软雅黑" w:hAnsi="微软雅黑" w:cs="宋体" w:hint="eastAsia"/>
          <w:b/>
          <w:bCs/>
          <w:color w:val="666666"/>
          <w:kern w:val="0"/>
          <w:szCs w:val="21"/>
        </w:rPr>
        <w:t>医药卫生健康法治理论研究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健康中国法制理论问题研究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基本医疗卫生与健康促进的立法研究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卫生健康领域地方立法研究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《民法典各分编（草案）》中有关卫生健康法治问题研究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“一带一路”健康法律理论研究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国内外医药卫生健康法律制度比较研究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医药卫生健康法治建设的国际、区际合作研究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二、医药卫生体制改革中的法律问题研究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公立医院公益性研究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现代医院管理法律问题研究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民营医院若干法律问题研究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医院集团法律问题研究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“互联网+医疗服务”法律问题研究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lastRenderedPageBreak/>
        <w:t>分级诊疗法律问题研究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proofErr w:type="gramStart"/>
      <w:r w:rsidRPr="00710E2F">
        <w:rPr>
          <w:rFonts w:ascii="微软雅黑" w:eastAsia="微软雅黑" w:hAnsi="微软雅黑" w:cs="宋体" w:hint="eastAsia"/>
          <w:color w:val="666666"/>
          <w:kern w:val="0"/>
          <w:szCs w:val="21"/>
        </w:rPr>
        <w:t>医</w:t>
      </w:r>
      <w:proofErr w:type="gramEnd"/>
      <w:r w:rsidRPr="00710E2F">
        <w:rPr>
          <w:rFonts w:ascii="微软雅黑" w:eastAsia="微软雅黑" w:hAnsi="微软雅黑" w:cs="宋体" w:hint="eastAsia"/>
          <w:color w:val="666666"/>
          <w:kern w:val="0"/>
          <w:szCs w:val="21"/>
        </w:rPr>
        <w:t>联体法律问题研究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医疗信息保护与利用的法律问题研究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养老若干法律问题研究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医疗保障法律问题研究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卫生健康领域治理体系的构建研究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健康扶贫法律问题研究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医疗服务的行政监管研究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医疗机构医疗风险预警预控及关键技术研究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三、生命伦理法学研究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健康战略中生命伦理问题研究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生命伦理研究的现状及其特点研究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生命伦理与卫生法学实践问题研究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突发性公共事件中的生命伦理问题研究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器官移植的伦理及法律问题研究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医疗损害责任中的生命伦理问题研究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医学伦理委员会法律问题研究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人类遗传学中的人权问题研究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基因治疗的法律规制研究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人类基因信息法律保护研究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四、公共卫生服务法律问题研究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公共卫生法的基础理论研究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lastRenderedPageBreak/>
        <w:t>公共卫生权利和义务关系研究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基本公共卫生服务法律问题研究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创新公共卫生服务体系建设研究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突发公共卫生事件预警、管控机制的现状及展望</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慢性病防控法律问题研究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急救医疗法律问题研究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职业病防控相关法律问题研究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疫苗法律问题研究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公共卫生产品的安全问题研究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五、食品、药品法律问题研究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食品安全法律保障制度研究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食品广告法治研究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保健食品监管法律制度研究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转基因食品法律规制研究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医疗器械法律问题研究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药品供应保障法律制度研究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药品管理法律问题</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中医药立法研究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中医药知识产权保护法治研究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中医药产业法律问题研究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中医养生保健法律治理研究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中医药监管问题研究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lastRenderedPageBreak/>
        <w:t>食品药品犯罪的法治化应对</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食品、药品安全犯罪的检察监督问题研究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六、医药卫生争议的防范与处理</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和谐医患关系构建问题</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医疗纠纷预防和处理立法研究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医疗纠纷深层次成因分析</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医疗纠纷的风险防范机制研究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医疗纠纷中应急处置社会管理机制研究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媒体介入医药卫生争议法律问题研究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医疗纠纷调解中专家咨询法律问题研究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proofErr w:type="gramStart"/>
      <w:r w:rsidRPr="00710E2F">
        <w:rPr>
          <w:rFonts w:ascii="微软雅黑" w:eastAsia="微软雅黑" w:hAnsi="微软雅黑" w:cs="宋体" w:hint="eastAsia"/>
          <w:color w:val="666666"/>
          <w:kern w:val="0"/>
          <w:szCs w:val="21"/>
        </w:rPr>
        <w:t>医</w:t>
      </w:r>
      <w:proofErr w:type="gramEnd"/>
      <w:r w:rsidRPr="00710E2F">
        <w:rPr>
          <w:rFonts w:ascii="微软雅黑" w:eastAsia="微软雅黑" w:hAnsi="微软雅黑" w:cs="宋体" w:hint="eastAsia"/>
          <w:color w:val="666666"/>
          <w:kern w:val="0"/>
          <w:szCs w:val="21"/>
        </w:rPr>
        <w:t>患权利保护研究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医事仲裁问题研究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医疗公益诉讼问题研究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跨境医疗美容法律问题研究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七、司法鉴定</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当前法医类司法鉴定的困境与突破研究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司法鉴定人的出庭作证理论与实务研究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律师法庭质询鉴定人及专家证人理论与实务研究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医疗损害鉴定立法研究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医疗损害鉴定机制与模式研究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医疗损害鉴定人的培养研究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高校司法鉴定机构管理模式探究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lastRenderedPageBreak/>
        <w:t>司法鉴定衔接机制建立研究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八、健康产业发展及其法律问题研究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国内外健康产业法治比较研究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健康产业发展模式法律问题研究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健康产业管理法律问题研究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九、健康生态领域的法律问题</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生态环境损害赔偿责任研究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《环境保护法》实施状况研究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环境损害的司法鉴定研究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环境公益诉讼中相关法律问题研究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环境生态修复的法律问题研究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环境与健康监测、调查、风险评估的法律研究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环境犯罪的检察监督问题研究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十、医药卫生法学教育与人才培养</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医药卫生法学学科建设与人才培养</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医药卫生法学发展现状与展望</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医药卫生法学教学与课程设置创新研究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医药卫生法学实践教学改革</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医事法学教育标准研究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医药卫生法律人才素质培养研究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color w:val="666666"/>
          <w:kern w:val="0"/>
          <w:szCs w:val="21"/>
        </w:rPr>
        <w:t>医药卫生法学人才培养的海内外合作问题研究</w:t>
      </w:r>
    </w:p>
    <w:p w:rsidR="00710E2F" w:rsidRPr="00710E2F" w:rsidRDefault="00710E2F" w:rsidP="00710E2F">
      <w:pPr>
        <w:widowControl/>
        <w:shd w:val="clear" w:color="auto" w:fill="FFFFFF"/>
        <w:spacing w:line="315" w:lineRule="atLeast"/>
        <w:ind w:firstLine="480"/>
        <w:jc w:val="center"/>
        <w:rPr>
          <w:rFonts w:ascii="微软雅黑" w:eastAsia="微软雅黑" w:hAnsi="微软雅黑" w:cs="宋体" w:hint="eastAsia"/>
          <w:color w:val="666666"/>
          <w:kern w:val="0"/>
          <w:szCs w:val="21"/>
        </w:rPr>
      </w:pPr>
      <w:r w:rsidRPr="00710E2F">
        <w:rPr>
          <w:rFonts w:ascii="微软雅黑" w:eastAsia="微软雅黑" w:hAnsi="微软雅黑" w:cs="宋体" w:hint="eastAsia"/>
          <w:b/>
          <w:bCs/>
          <w:color w:val="666666"/>
          <w:kern w:val="0"/>
          <w:szCs w:val="21"/>
        </w:rPr>
        <w:t>十一、其他</w:t>
      </w:r>
    </w:p>
    <w:p w:rsidR="0024161D" w:rsidRDefault="0024161D">
      <w:pPr>
        <w:rPr>
          <w:rFonts w:hint="eastAsia"/>
        </w:rPr>
      </w:pPr>
    </w:p>
    <w:sectPr w:rsidR="0024161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2F"/>
    <w:rsid w:val="0024161D"/>
    <w:rsid w:val="00710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710E2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710E2F"/>
    <w:rPr>
      <w:rFonts w:ascii="宋体" w:eastAsia="宋体" w:hAnsi="宋体" w:cs="宋体"/>
      <w:b/>
      <w:bCs/>
      <w:kern w:val="0"/>
      <w:sz w:val="27"/>
      <w:szCs w:val="27"/>
    </w:rPr>
  </w:style>
  <w:style w:type="character" w:styleId="a3">
    <w:name w:val="Emphasis"/>
    <w:basedOn w:val="a0"/>
    <w:uiPriority w:val="20"/>
    <w:qFormat/>
    <w:rsid w:val="00710E2F"/>
    <w:rPr>
      <w:i/>
      <w:iCs/>
    </w:rPr>
  </w:style>
  <w:style w:type="character" w:customStyle="1" w:styleId="apple-converted-space">
    <w:name w:val="apple-converted-space"/>
    <w:basedOn w:val="a0"/>
    <w:rsid w:val="00710E2F"/>
  </w:style>
  <w:style w:type="paragraph" w:customStyle="1" w:styleId="vsbcontentstart">
    <w:name w:val="vsbcontent_start"/>
    <w:basedOn w:val="a"/>
    <w:rsid w:val="00710E2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10E2F"/>
    <w:rPr>
      <w:b/>
      <w:bCs/>
    </w:rPr>
  </w:style>
  <w:style w:type="paragraph" w:styleId="a5">
    <w:name w:val="Normal (Web)"/>
    <w:basedOn w:val="a"/>
    <w:uiPriority w:val="99"/>
    <w:semiHidden/>
    <w:unhideWhenUsed/>
    <w:rsid w:val="00710E2F"/>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710E2F"/>
    <w:rPr>
      <w:color w:val="0000FF"/>
      <w:u w:val="single"/>
    </w:rPr>
  </w:style>
  <w:style w:type="paragraph" w:customStyle="1" w:styleId="vsbcontentend">
    <w:name w:val="vsbcontent_end"/>
    <w:basedOn w:val="a"/>
    <w:rsid w:val="00710E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710E2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710E2F"/>
    <w:rPr>
      <w:rFonts w:ascii="宋体" w:eastAsia="宋体" w:hAnsi="宋体" w:cs="宋体"/>
      <w:b/>
      <w:bCs/>
      <w:kern w:val="0"/>
      <w:sz w:val="27"/>
      <w:szCs w:val="27"/>
    </w:rPr>
  </w:style>
  <w:style w:type="character" w:styleId="a3">
    <w:name w:val="Emphasis"/>
    <w:basedOn w:val="a0"/>
    <w:uiPriority w:val="20"/>
    <w:qFormat/>
    <w:rsid w:val="00710E2F"/>
    <w:rPr>
      <w:i/>
      <w:iCs/>
    </w:rPr>
  </w:style>
  <w:style w:type="character" w:customStyle="1" w:styleId="apple-converted-space">
    <w:name w:val="apple-converted-space"/>
    <w:basedOn w:val="a0"/>
    <w:rsid w:val="00710E2F"/>
  </w:style>
  <w:style w:type="paragraph" w:customStyle="1" w:styleId="vsbcontentstart">
    <w:name w:val="vsbcontent_start"/>
    <w:basedOn w:val="a"/>
    <w:rsid w:val="00710E2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10E2F"/>
    <w:rPr>
      <w:b/>
      <w:bCs/>
    </w:rPr>
  </w:style>
  <w:style w:type="paragraph" w:styleId="a5">
    <w:name w:val="Normal (Web)"/>
    <w:basedOn w:val="a"/>
    <w:uiPriority w:val="99"/>
    <w:semiHidden/>
    <w:unhideWhenUsed/>
    <w:rsid w:val="00710E2F"/>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710E2F"/>
    <w:rPr>
      <w:color w:val="0000FF"/>
      <w:u w:val="single"/>
    </w:rPr>
  </w:style>
  <w:style w:type="paragraph" w:customStyle="1" w:styleId="vsbcontentend">
    <w:name w:val="vsbcontent_end"/>
    <w:basedOn w:val="a"/>
    <w:rsid w:val="00710E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71764">
      <w:bodyDiv w:val="1"/>
      <w:marLeft w:val="0"/>
      <w:marRight w:val="0"/>
      <w:marTop w:val="0"/>
      <w:marBottom w:val="0"/>
      <w:divBdr>
        <w:top w:val="none" w:sz="0" w:space="0" w:color="auto"/>
        <w:left w:val="none" w:sz="0" w:space="0" w:color="auto"/>
        <w:bottom w:val="none" w:sz="0" w:space="0" w:color="auto"/>
        <w:right w:val="none" w:sz="0" w:space="0" w:color="auto"/>
      </w:divBdr>
      <w:divsChild>
        <w:div w:id="393160934">
          <w:marLeft w:val="0"/>
          <w:marRight w:val="0"/>
          <w:marTop w:val="0"/>
          <w:marBottom w:val="0"/>
          <w:divBdr>
            <w:top w:val="none" w:sz="0" w:space="0" w:color="auto"/>
            <w:left w:val="none" w:sz="0" w:space="0" w:color="auto"/>
            <w:bottom w:val="none" w:sz="0" w:space="0" w:color="auto"/>
            <w:right w:val="none" w:sz="0" w:space="0" w:color="auto"/>
          </w:divBdr>
          <w:divsChild>
            <w:div w:id="1245916354">
              <w:marLeft w:val="0"/>
              <w:marRight w:val="0"/>
              <w:marTop w:val="150"/>
              <w:marBottom w:val="0"/>
              <w:divBdr>
                <w:top w:val="none" w:sz="0" w:space="0" w:color="auto"/>
                <w:left w:val="none" w:sz="0" w:space="0" w:color="auto"/>
                <w:bottom w:val="none" w:sz="0" w:space="0" w:color="auto"/>
                <w:right w:val="none" w:sz="0" w:space="0" w:color="auto"/>
              </w:divBdr>
            </w:div>
          </w:divsChild>
        </w:div>
        <w:div w:id="2402618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qq://txfile/"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633</Words>
  <Characters>3611</Characters>
  <Application>Microsoft Office Word</Application>
  <DocSecurity>0</DocSecurity>
  <Lines>30</Lines>
  <Paragraphs>8</Paragraphs>
  <ScaleCrop>false</ScaleCrop>
  <Company>微软中国</Company>
  <LinksUpToDate>false</LinksUpToDate>
  <CharactersWithSpaces>4236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2019-02-25T08:35:00Z</dcterms:created>
  <dcterms:modified xsi:type="dcterms:W3CDTF">2019-02-25T08:35:00Z</dcterms:modified>
</cp:coreProperties>
</file>